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《爆破作业单位资质条件和管理要求》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主要</w:t>
      </w:r>
      <w:r>
        <w:rPr>
          <w:rFonts w:hint="eastAsia" w:ascii="方正小标宋简体" w:hAnsi="黑体" w:eastAsia="方正小标宋简体"/>
          <w:sz w:val="32"/>
          <w:szCs w:val="32"/>
        </w:rPr>
        <w:t>修订内容</w:t>
      </w:r>
    </w:p>
    <w:tbl>
      <w:tblPr>
        <w:tblStyle w:val="10"/>
        <w:tblpPr w:leftFromText="180" w:rightFromText="180" w:vertAnchor="page" w:horzAnchor="margin" w:tblpY="2326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643"/>
        <w:gridCol w:w="5871"/>
        <w:gridCol w:w="5952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标准章条号</w:t>
            </w:r>
          </w:p>
        </w:tc>
        <w:tc>
          <w:tcPr>
            <w:tcW w:w="58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修改前</w:t>
            </w:r>
          </w:p>
        </w:tc>
        <w:tc>
          <w:tcPr>
            <w:tcW w:w="59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修改后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修改说明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3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前言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本标准的全部内容为强制性。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本标准按照GB/T1.1—2009给出的规则起草。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本标准由公安部治安管理局提出。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本标准由公安部社会公共安全应用基础标准化技术委员会归口。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本标准主要起草单位：公安部治安管理局。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本标准主要起草人</w:t>
            </w:r>
            <w:bookmarkStart w:id="0" w:name="OLE_LINK9"/>
            <w:r>
              <w:rPr>
                <w:rFonts w:ascii="Times New Roman" w:hAnsi="Times New Roman" w:eastAsia="宋体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闫正斌、亓希国、张国亮。</w:t>
            </w:r>
            <w:bookmarkEnd w:id="0"/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本标准为首次发布。</w:t>
            </w:r>
          </w:p>
        </w:tc>
        <w:tc>
          <w:tcPr>
            <w:tcW w:w="5952" w:type="dxa"/>
            <w:vAlign w:val="center"/>
          </w:tcPr>
          <w:p>
            <w:pPr>
              <w:ind w:firstLine="420" w:firstLineChars="200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本标准的全部内容为强制性。</w:t>
            </w:r>
          </w:p>
          <w:p>
            <w:pPr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本标准按照GB/T1.1—2009给出的规则起草。</w:t>
            </w:r>
          </w:p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本标准代替GA 990—2012《爆破作业单位资质条件和管理要求》。除编辑性修改外，主要技术内容变化如下：</w:t>
            </w:r>
          </w:p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――修改了爆破作业单位的资质等级（见第5章，2012年版的第5章）；</w:t>
            </w:r>
          </w:p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――修改了爆破作业单位的资质条件要求（见第6章，2012年版的第6章）；</w:t>
            </w:r>
          </w:p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――修改了爆破作业人员的岗位职责和设置要求（见第7章，2012年版的第7章）；</w:t>
            </w:r>
          </w:p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――修改了许可证申请、换发管理要求（见8.1，2012年版的8.1）；</w:t>
            </w:r>
          </w:p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――增加了《爆破作业单位许可证》的注销管理要求（见8.1.5）。</w:t>
            </w:r>
          </w:p>
          <w:p>
            <w:pPr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本标准由公安部治安管理局提出。</w:t>
            </w:r>
          </w:p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本标准由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全国爆炸物品公共安全管理标准化技术委员会（SAC/TC 577）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归口。</w:t>
            </w:r>
          </w:p>
          <w:p>
            <w:pPr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本标准主要起草单位：</w:t>
            </w:r>
          </w:p>
          <w:p>
            <w:pPr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本标准主要起草人：</w:t>
            </w:r>
          </w:p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本标准所代替标准的历次版本发布情况为：</w:t>
            </w:r>
          </w:p>
          <w:p>
            <w:pPr>
              <w:ind w:firstLine="422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GA 990—2012。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引言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根据《民用爆炸物品安全管理条例》授权，在充分调研并广泛征求有关部门、从业单位意见的基础上，本标准将营业性爆破作业单位按照其拥有的注册资金、专业技术人员、技术装备和业绩等条件，分为一级、二级、三级、四级资质，规定了其从业范围，并设定了爆破作业单位岗位职责和设置要求。本标准还对《爆破作业单位许可证》的申请、发放、换发、降级、撤销和爆破作业单位安全管理作了具体要求。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根据《民用爆炸物品安全管理条例》授权，在充分调研并广泛征求有关部门、从业单位意见的基础上，本标准将营业性爆破作业单位按照其拥有的净资产、专业技术人员、技术装备和业绩等条件</w:t>
            </w:r>
            <w:r>
              <w:rPr>
                <w:rFonts w:ascii="Times New Roman" w:hAnsi="Times New Roman" w:eastAsia="宋体" w:cs="Times New Roman"/>
                <w:b/>
              </w:rPr>
              <w:t>，分为一级、二级、三级资质</w:t>
            </w:r>
            <w:r>
              <w:rPr>
                <w:rFonts w:ascii="Times New Roman" w:hAnsi="Times New Roman" w:eastAsia="宋体" w:cs="Times New Roman"/>
              </w:rPr>
              <w:t>，规定了其从业范围，并设定了爆破作业单位岗位职责和设置要求。本标准还对《爆破作业单位许可证》的申请、发放、换发、降级、撤销和注销及爆破作业单位安全管理作了具体要求。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下列文件对于本文件的应用是必不可少的。凡是注日期的引用文件，仅注日期的版本适用于本文件。凡是不注日期的引用文件，其最新版本（包括所有的修改单）适用于本文件。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GB 6722  爆破安全规程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GA 991  爆破作业项目管理要求</w:t>
            </w:r>
          </w:p>
        </w:tc>
        <w:tc>
          <w:tcPr>
            <w:tcW w:w="5952" w:type="dxa"/>
            <w:vAlign w:val="center"/>
          </w:tcPr>
          <w:p>
            <w:pPr>
              <w:ind w:left="1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下列文件对于本文件的应用是必不可少的。凡是注日期的引用文件，仅注日期的版本适用于本文件。凡是不注日期的引用文件，其最新版本（包括所有的修改单）适用于本文件。</w:t>
            </w:r>
          </w:p>
          <w:p>
            <w:pPr>
              <w:ind w:left="1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GB 6722  爆破安全规程</w:t>
            </w:r>
          </w:p>
          <w:p>
            <w:pPr>
              <w:ind w:left="1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GA 53  爆破作业人员资格条件和管理要求</w:t>
            </w:r>
          </w:p>
          <w:p>
            <w:pPr>
              <w:ind w:left="1"/>
              <w:rPr>
                <w:rFonts w:ascii="Times New Roman" w:hAnsi="Times New Roman" w:eastAsia="宋体" w:cs="Times New Roman"/>
                <w:szCs w:val="21"/>
              </w:rPr>
            </w:pPr>
            <w:bookmarkStart w:id="1" w:name="OLE_LINK11"/>
            <w:r>
              <w:rPr>
                <w:rFonts w:ascii="Times New Roman" w:hAnsi="Times New Roman" w:eastAsia="宋体" w:cs="Times New Roman"/>
                <w:szCs w:val="21"/>
              </w:rPr>
              <w:t>G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991  </w:t>
            </w:r>
            <w:r>
              <w:rPr>
                <w:rFonts w:ascii="Times New Roman" w:hAnsi="Times New Roman" w:eastAsia="宋体" w:cs="Times New Roman"/>
                <w:szCs w:val="21"/>
              </w:rPr>
              <w:t>爆破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作业项目管理要求</w:t>
            </w:r>
            <w:bookmarkEnd w:id="1"/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5.1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营业性爆破作业单位的资质等级由高到低分为：一级、二级、三级、四级，从业范围分为设计施工、安全评估、安全监理。资质等级与从业范围的对应关系见表1。</w:t>
            </w:r>
          </w:p>
          <w:p>
            <w:pPr>
              <w:ind w:right="-10"/>
              <w:jc w:val="center"/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表1  营业性爆破作业单位资质等级与从业范围对应关系表</w:t>
            </w:r>
          </w:p>
          <w:tbl>
            <w:tblPr>
              <w:tblStyle w:val="6"/>
              <w:tblW w:w="5625" w:type="dxa"/>
              <w:jc w:val="center"/>
              <w:tblInd w:w="0" w:type="dxa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0"/>
              <w:gridCol w:w="1054"/>
              <w:gridCol w:w="1054"/>
              <w:gridCol w:w="1054"/>
              <w:gridCol w:w="1313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115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资质等级</w:t>
                  </w:r>
                </w:p>
              </w:tc>
              <w:tc>
                <w:tcPr>
                  <w:tcW w:w="1054" w:type="dxa"/>
                  <w:tcBorders>
                    <w:top w:val="single" w:color="auto" w:sz="12" w:space="0"/>
                    <w:bottom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A级爆破作业项目</w:t>
                  </w:r>
                </w:p>
              </w:tc>
              <w:tc>
                <w:tcPr>
                  <w:tcW w:w="1054" w:type="dxa"/>
                  <w:tcBorders>
                    <w:top w:val="single" w:color="auto" w:sz="12" w:space="0"/>
                    <w:bottom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B级爆破作业项目</w:t>
                  </w:r>
                </w:p>
              </w:tc>
              <w:tc>
                <w:tcPr>
                  <w:tcW w:w="1054" w:type="dxa"/>
                  <w:tcBorders>
                    <w:top w:val="single" w:color="auto" w:sz="12" w:space="0"/>
                    <w:bottom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C级爆破作业项目</w:t>
                  </w:r>
                </w:p>
              </w:tc>
              <w:tc>
                <w:tcPr>
                  <w:tcW w:w="1313" w:type="dxa"/>
                  <w:tcBorders>
                    <w:top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D级及以下爆破作业项目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3" w:hRule="atLeast"/>
                <w:jc w:val="center"/>
              </w:trPr>
              <w:tc>
                <w:tcPr>
                  <w:tcW w:w="1150" w:type="dxa"/>
                  <w:tcBorders>
                    <w:left w:val="single" w:color="auto" w:sz="12" w:space="0"/>
                    <w:bottom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一级</w:t>
                  </w:r>
                </w:p>
              </w:tc>
              <w:tc>
                <w:tcPr>
                  <w:tcW w:w="1054" w:type="dxa"/>
                  <w:tcBorders>
                    <w:bottom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安全评估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安全监理</w:t>
                  </w:r>
                </w:p>
              </w:tc>
              <w:tc>
                <w:tcPr>
                  <w:tcW w:w="1054" w:type="dxa"/>
                  <w:tcBorders>
                    <w:bottom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安全评估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安全监理</w:t>
                  </w:r>
                </w:p>
              </w:tc>
              <w:tc>
                <w:tcPr>
                  <w:tcW w:w="1054" w:type="dxa"/>
                  <w:tcBorders>
                    <w:bottom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安全评估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安全监理</w:t>
                  </w:r>
                </w:p>
              </w:tc>
              <w:tc>
                <w:tcPr>
                  <w:tcW w:w="1313" w:type="dxa"/>
                  <w:tcBorders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安全评估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安全监理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3" w:hRule="atLeast"/>
                <w:jc w:val="center"/>
              </w:trPr>
              <w:tc>
                <w:tcPr>
                  <w:tcW w:w="1150" w:type="dxa"/>
                  <w:tcBorders>
                    <w:top w:val="single" w:color="auto" w:sz="12" w:space="0"/>
                    <w:left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二级</w:t>
                  </w:r>
                </w:p>
              </w:tc>
              <w:tc>
                <w:tcPr>
                  <w:tcW w:w="1054" w:type="dxa"/>
                  <w:tcBorders>
                    <w:top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1054" w:type="dxa"/>
                  <w:tcBorders>
                    <w:top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安全评估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安全监理</w:t>
                  </w:r>
                </w:p>
              </w:tc>
              <w:tc>
                <w:tcPr>
                  <w:tcW w:w="1054" w:type="dxa"/>
                  <w:tcBorders>
                    <w:top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安全评估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安全监理</w:t>
                  </w:r>
                </w:p>
              </w:tc>
              <w:tc>
                <w:tcPr>
                  <w:tcW w:w="1313" w:type="dxa"/>
                  <w:tcBorders>
                    <w:top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安全评估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安全监理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9" w:hRule="atLeast"/>
                <w:jc w:val="center"/>
              </w:trPr>
              <w:tc>
                <w:tcPr>
                  <w:tcW w:w="1150" w:type="dxa"/>
                  <w:tcBorders>
                    <w:left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三级</w:t>
                  </w:r>
                </w:p>
              </w:tc>
              <w:tc>
                <w:tcPr>
                  <w:tcW w:w="1054" w:type="dxa"/>
                  <w:shd w:val="clear" w:color="auto" w:fill="auto"/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1054" w:type="dxa"/>
                  <w:shd w:val="clear" w:color="auto" w:fill="auto"/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1054" w:type="dxa"/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安全监理</w:t>
                  </w:r>
                </w:p>
              </w:tc>
              <w:tc>
                <w:tcPr>
                  <w:tcW w:w="1313" w:type="dxa"/>
                  <w:tcBorders>
                    <w:right w:val="single" w:color="auto" w:sz="12" w:space="0"/>
                  </w:tcBorders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安全监理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 w:hRule="atLeast"/>
                <w:jc w:val="center"/>
              </w:trPr>
              <w:tc>
                <w:tcPr>
                  <w:tcW w:w="1150" w:type="dxa"/>
                  <w:tcBorders>
                    <w:left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四级</w:t>
                  </w:r>
                </w:p>
              </w:tc>
              <w:tc>
                <w:tcPr>
                  <w:tcW w:w="1054" w:type="dxa"/>
                  <w:shd w:val="clear" w:color="auto" w:fill="auto"/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1054" w:type="dxa"/>
                  <w:shd w:val="clear" w:color="auto" w:fill="auto"/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1054" w:type="dxa"/>
                  <w:shd w:val="clear" w:color="auto" w:fill="auto"/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1313" w:type="dxa"/>
                  <w:tcBorders>
                    <w:right w:val="single" w:color="auto" w:sz="12" w:space="0"/>
                  </w:tcBorders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设计施工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 w:hRule="atLeast"/>
                <w:jc w:val="center"/>
              </w:trPr>
              <w:tc>
                <w:tcPr>
                  <w:tcW w:w="5625" w:type="dxa"/>
                  <w:gridSpan w:val="5"/>
                  <w:tcBorders>
                    <w:left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20" w:lineRule="exact"/>
                    <w:ind w:right="-10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color w:val="000000"/>
                      <w:sz w:val="18"/>
                      <w:szCs w:val="18"/>
                    </w:rPr>
                    <w:t>注：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sz w:val="18"/>
                      <w:szCs w:val="18"/>
                    </w:rPr>
                    <w:t xml:space="preserve"> 表中A级、B级、C级、D级为</w:t>
                  </w:r>
                  <w:r>
                    <w:rPr>
                      <w:rFonts w:ascii="Times New Roman" w:hAnsi="Times New Roman" w:eastAsia="宋体" w:cs="Times New Roman"/>
                      <w:color w:val="000000"/>
                      <w:sz w:val="18"/>
                      <w:szCs w:val="18"/>
                    </w:rPr>
                    <w:t>GB6722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sz w:val="18"/>
                      <w:szCs w:val="18"/>
                    </w:rPr>
                    <w:t>中规定的相应级别。</w:t>
                  </w:r>
                </w:p>
              </w:tc>
            </w:tr>
          </w:tbl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营业性爆破作业单位的资质等级由高到低分为：</w:t>
            </w:r>
            <w:r>
              <w:rPr>
                <w:rFonts w:ascii="Times New Roman" w:hAnsi="Times New Roman" w:eastAsia="宋体" w:cs="Times New Roman"/>
                <w:b/>
              </w:rPr>
              <w:t>一级、二级、三级</w:t>
            </w:r>
            <w:r>
              <w:rPr>
                <w:rFonts w:ascii="Times New Roman" w:hAnsi="Times New Roman" w:eastAsia="宋体" w:cs="Times New Roman"/>
              </w:rPr>
              <w:t>，从业范围分为设计施工、安全评估、安全监理。资质等级与从业范围的对应关系见表1。</w:t>
            </w:r>
          </w:p>
          <w:p>
            <w:pPr>
              <w:ind w:right="-10"/>
              <w:jc w:val="center"/>
              <w:rPr>
                <w:rFonts w:ascii="黑体" w:hAnsi="宋体" w:eastAsia="黑体" w:cs="Times New Roman"/>
                <w:szCs w:val="24"/>
              </w:rPr>
            </w:pPr>
            <w:r>
              <w:rPr>
                <w:rFonts w:hint="eastAsia" w:ascii="黑体" w:hAnsi="宋体" w:eastAsia="黑体" w:cs="Times New Roman"/>
                <w:szCs w:val="24"/>
              </w:rPr>
              <w:t>表1  营业性爆破作业单位资质等级与从业范围对应关系表</w:t>
            </w:r>
          </w:p>
          <w:tbl>
            <w:tblPr>
              <w:tblStyle w:val="6"/>
              <w:tblW w:w="5706" w:type="dxa"/>
              <w:jc w:val="center"/>
              <w:tblInd w:w="0" w:type="dxa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6"/>
              <w:gridCol w:w="1069"/>
              <w:gridCol w:w="1069"/>
              <w:gridCol w:w="1069"/>
              <w:gridCol w:w="1333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8" w:hRule="atLeast"/>
                <w:jc w:val="center"/>
              </w:trPr>
              <w:tc>
                <w:tcPr>
                  <w:tcW w:w="1166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资质等级</w:t>
                  </w:r>
                </w:p>
              </w:tc>
              <w:tc>
                <w:tcPr>
                  <w:tcW w:w="1069" w:type="dxa"/>
                  <w:tcBorders>
                    <w:top w:val="single" w:color="auto" w:sz="12" w:space="0"/>
                    <w:bottom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A级爆破作业项目</w:t>
                  </w:r>
                </w:p>
              </w:tc>
              <w:tc>
                <w:tcPr>
                  <w:tcW w:w="1069" w:type="dxa"/>
                  <w:tcBorders>
                    <w:top w:val="single" w:color="auto" w:sz="12" w:space="0"/>
                    <w:bottom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B级爆破作业项目</w:t>
                  </w:r>
                </w:p>
              </w:tc>
              <w:tc>
                <w:tcPr>
                  <w:tcW w:w="1069" w:type="dxa"/>
                  <w:tcBorders>
                    <w:top w:val="single" w:color="auto" w:sz="12" w:space="0"/>
                    <w:bottom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C级爆破作业项目</w:t>
                  </w:r>
                </w:p>
              </w:tc>
              <w:tc>
                <w:tcPr>
                  <w:tcW w:w="1333" w:type="dxa"/>
                  <w:tcBorders>
                    <w:top w:val="single" w:color="auto" w:sz="12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sz w:val="18"/>
                      <w:szCs w:val="18"/>
                    </w:rPr>
                    <w:t>D级及以下爆破作业项目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3" w:hRule="atLeast"/>
                <w:jc w:val="center"/>
              </w:trPr>
              <w:tc>
                <w:tcPr>
                  <w:tcW w:w="1166" w:type="dxa"/>
                  <w:tcBorders>
                    <w:left w:val="single" w:color="auto" w:sz="12" w:space="0"/>
                    <w:bottom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一级</w:t>
                  </w:r>
                </w:p>
              </w:tc>
              <w:tc>
                <w:tcPr>
                  <w:tcW w:w="1069" w:type="dxa"/>
                  <w:tcBorders>
                    <w:bottom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安全评估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Times New Roman" w:hAnsi="Times New Roman" w:eastAsia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安全监理</w:t>
                  </w:r>
                </w:p>
              </w:tc>
              <w:tc>
                <w:tcPr>
                  <w:tcW w:w="1069" w:type="dxa"/>
                  <w:tcBorders>
                    <w:bottom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安全评估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安全监理</w:t>
                  </w:r>
                </w:p>
              </w:tc>
              <w:tc>
                <w:tcPr>
                  <w:tcW w:w="1069" w:type="dxa"/>
                  <w:tcBorders>
                    <w:bottom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安全评估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安全监理</w:t>
                  </w:r>
                </w:p>
              </w:tc>
              <w:tc>
                <w:tcPr>
                  <w:tcW w:w="1333" w:type="dxa"/>
                  <w:tcBorders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安全评估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安全监理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3" w:hRule="atLeast"/>
                <w:jc w:val="center"/>
              </w:trPr>
              <w:tc>
                <w:tcPr>
                  <w:tcW w:w="1166" w:type="dxa"/>
                  <w:tcBorders>
                    <w:top w:val="single" w:color="auto" w:sz="12" w:space="0"/>
                    <w:left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二级</w:t>
                  </w:r>
                </w:p>
              </w:tc>
              <w:tc>
                <w:tcPr>
                  <w:tcW w:w="1069" w:type="dxa"/>
                  <w:tcBorders>
                    <w:top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1069" w:type="dxa"/>
                  <w:tcBorders>
                    <w:top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安全监理</w:t>
                  </w:r>
                </w:p>
              </w:tc>
              <w:tc>
                <w:tcPr>
                  <w:tcW w:w="1069" w:type="dxa"/>
                  <w:tcBorders>
                    <w:top w:val="single" w:color="auto" w:sz="12" w:space="0"/>
                  </w:tcBorders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安全监理</w:t>
                  </w:r>
                </w:p>
              </w:tc>
              <w:tc>
                <w:tcPr>
                  <w:tcW w:w="1333" w:type="dxa"/>
                  <w:tcBorders>
                    <w:top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设计施工</w:t>
                  </w:r>
                </w:p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安全监理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9" w:hRule="atLeast"/>
                <w:jc w:val="center"/>
              </w:trPr>
              <w:tc>
                <w:tcPr>
                  <w:tcW w:w="1166" w:type="dxa"/>
                  <w:tcBorders>
                    <w:left w:val="single" w:color="auto" w:sz="12" w:space="0"/>
                  </w:tcBorders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三级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>
                  <w:pPr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设计施工</w:t>
                  </w:r>
                </w:p>
              </w:tc>
              <w:tc>
                <w:tcPr>
                  <w:tcW w:w="1333" w:type="dxa"/>
                  <w:tcBorders>
                    <w:right w:val="single" w:color="auto" w:sz="12" w:space="0"/>
                  </w:tcBorders>
                  <w:vAlign w:val="center"/>
                </w:tcPr>
                <w:p>
                  <w:pPr>
                    <w:spacing w:line="220" w:lineRule="exact"/>
                    <w:ind w:right="-10"/>
                    <w:jc w:val="center"/>
                    <w:rPr>
                      <w:rFonts w:ascii="宋体" w:hAnsi="宋体" w:eastAsia="宋体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Times New Roman"/>
                      <w:b/>
                      <w:sz w:val="18"/>
                      <w:szCs w:val="18"/>
                    </w:rPr>
                    <w:t>设计施工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 w:hRule="atLeast"/>
                <w:jc w:val="center"/>
              </w:trPr>
              <w:tc>
                <w:tcPr>
                  <w:tcW w:w="5706" w:type="dxa"/>
                  <w:gridSpan w:val="5"/>
                  <w:tcBorders>
                    <w:left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20" w:lineRule="exact"/>
                    <w:ind w:right="-10"/>
                    <w:rPr>
                      <w:rFonts w:ascii="宋体" w:hAnsi="宋体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color w:val="000000"/>
                      <w:sz w:val="18"/>
                      <w:szCs w:val="18"/>
                    </w:rPr>
                    <w:t>注：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sz w:val="18"/>
                      <w:szCs w:val="18"/>
                    </w:rPr>
                    <w:t xml:space="preserve"> 表中A级、B级、C级、D级为</w:t>
                  </w:r>
                  <w:r>
                    <w:rPr>
                      <w:rFonts w:ascii="Times New Roman" w:hAnsi="Times New Roman" w:eastAsia="宋体" w:cs="Times New Roman"/>
                      <w:color w:val="000000"/>
                      <w:sz w:val="18"/>
                      <w:szCs w:val="18"/>
                    </w:rPr>
                    <w:t>GB6722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sz w:val="18"/>
                      <w:szCs w:val="18"/>
                    </w:rPr>
                    <w:t>中规定的相应级别。</w:t>
                  </w:r>
                </w:p>
              </w:tc>
            </w:tr>
          </w:tbl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6.2.1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非营业性爆破作业单位应具备下列条件：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a）有经安全评价合格的民用爆炸物品专用仓库；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b）技术负责人具有理学、工学学科范围中级及以上技术职称，有2年及以上爆破作业项目技术管理工作的经历；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c）爆破工程技术人员不少于1人，爆破员不少于5人，安全员不少于2人，保管员不少于2人；d）有爆破作业专用设备。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非营业性爆破作业单位应具备下列条件：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a）有经安全评价合格的民用爆炸物品专用仓库；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b）</w:t>
            </w:r>
            <w:r>
              <w:rPr>
                <w:rFonts w:ascii="Times New Roman" w:hAnsi="Times New Roman" w:eastAsia="宋体" w:cs="Times New Roman"/>
                <w:b/>
              </w:rPr>
              <w:t>技术负责人具备中级及以上爆破工程技术人员资格等级</w:t>
            </w:r>
            <w:r>
              <w:rPr>
                <w:rFonts w:ascii="Times New Roman" w:hAnsi="Times New Roman" w:eastAsia="宋体" w:cs="Times New Roman"/>
              </w:rPr>
              <w:t>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c）</w:t>
            </w:r>
            <w:r>
              <w:rPr>
                <w:rFonts w:ascii="Times New Roman" w:hAnsi="Times New Roman" w:eastAsia="宋体" w:cs="Times New Roman"/>
                <w:b/>
              </w:rPr>
              <w:t>爆破工程技术人员不少于</w:t>
            </w:r>
            <w:r>
              <w:rPr>
                <w:rFonts w:hint="eastAsia" w:ascii="Times New Roman" w:hAnsi="Times New Roman" w:eastAsia="宋体" w:cs="Times New Roman"/>
                <w:b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b/>
              </w:rPr>
              <w:t>人（其中，中级及以上不少于</w:t>
            </w:r>
            <w:r>
              <w:rPr>
                <w:rFonts w:hint="eastAsia" w:ascii="Times New Roman" w:hAnsi="Times New Roman" w:eastAsia="宋体" w:cs="Times New Roman"/>
                <w:b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b/>
              </w:rPr>
              <w:t>人）</w:t>
            </w:r>
            <w:r>
              <w:rPr>
                <w:rFonts w:ascii="Times New Roman" w:hAnsi="Times New Roman" w:eastAsia="宋体" w:cs="Times New Roman"/>
              </w:rPr>
              <w:t>，爆破员不少于5人，安全员不少于2人，保管员不少于2人；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d）有爆破作业专用设备。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6.2.2.1</w:t>
            </w:r>
          </w:p>
        </w:tc>
        <w:tc>
          <w:tcPr>
            <w:tcW w:w="5871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一级资质的营业性爆破作业单位应具备下列条件：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a）有或租用经安全评价合格的民用爆炸物品专用仓库； 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b）注册资金2000万元以上，净资产不低于2000万元，其中爆破施工机械及检测、测量设备净值不少于1000万元；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c）近3年承担过的A级爆破作业项目的设计施工不少于10项，或B级及以上爆破作业项目的设计施工不少于20项，工程质量达到设计要求，未发生重大及以上爆破作业责任事故；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d）技术负责人具有理学、工学学科范围高级技术职称，有10年及以上爆破作业项目技术管理工作的经历，且主持过的A级爆破作业项目的设计施工不少于5项，或B级及以上爆破作业项目的设计施工不少于10项；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e）具有理学、工学学科范围技术职称的工程技术人员不少于30人（其中，高级爆破工程技术人员不少于9人，中级爆破工程技术人员不少于6人），爆破员不少于10人，安全员不少于2人，保管员不少于2人；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f）有钻孔机、空压机、测振仪、全站仪等爆破施工机械及检测、测量设备。</w:t>
            </w:r>
          </w:p>
        </w:tc>
        <w:tc>
          <w:tcPr>
            <w:tcW w:w="5952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一级资质的营业性爆破作业单位应具备下列条件：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a）有或租用经安全评价合格的民用爆炸物品专用仓库；</w:t>
            </w:r>
          </w:p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b）净资产不低于2000万元，其中爆破施工机械及检测、测量设备净值不少于1000万元；</w:t>
            </w:r>
          </w:p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c）近5年承担过B级爆破作业项目的设计施工不少于20项，工程质量达到设计要求，未发生重大及以上爆破作业责任事故；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d）</w:t>
            </w:r>
            <w:r>
              <w:rPr>
                <w:rFonts w:ascii="Times New Roman" w:hAnsi="Times New Roman" w:eastAsia="宋体" w:cs="Times New Roman"/>
                <w:b/>
              </w:rPr>
              <w:t>技术负责人具备高级/A爆破工程技术人员资格等级，</w:t>
            </w:r>
            <w:r>
              <w:rPr>
                <w:rFonts w:ascii="Times New Roman" w:hAnsi="Times New Roman" w:eastAsia="宋体" w:cs="Times New Roman"/>
              </w:rPr>
              <w:t>有10年及以上爆破作业项目技术管理工作的经历，且主持过的A级爆破作业项目的设计施工不少于5项，或B级及以上爆破作业项目的设计施工不少于10项；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</w:rPr>
              <w:t>e）爆破工程技术人员不少于30人，中级及以上爆破工程技术人员不少于15人（其中，高级爆破工程技术人员不少于9人），爆破员不少于30人，安全员不少于6人，保管员不少于6人；</w:t>
            </w:r>
            <w:r>
              <w:rPr>
                <w:rFonts w:ascii="Times New Roman" w:hAnsi="Times New Roman" w:eastAsia="宋体" w:cs="Times New Roman"/>
                <w:b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f）有钻孔机、空压机、测振仪、测绘仪器等爆破施工机械及检测、测量设备。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871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952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6.2.2.2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二级资质的营业性爆破作业单位应具备下列条件：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a）有或租用经安全评价合格的民用爆炸物品专用仓库；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b）注册资金1000万元以上，净资产不低于1000万元，其中爆破施工机械及检测、测量设备净值不少于500万元；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c）近3年承担过的B级及以上爆破作业项目的设计施工不少于10项，或C级及以上爆破作业项目的设计施工不少于20项，工程质量达到设计要求，未发生重大及以上爆破作业责任事故；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d）技术负责人具有理学、工学学科范围高级技术职称，有7年及以上爆破作业项目技术管理工作的经历，且主持过的B级及以上爆破作业项目的设计施工不少于5项，或C级及以上爆破作业项目的设计施工不少于10项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e）具有理学、工学学科范围技术职称的工程技术人员不少于20人（其中，高级爆破工程技术人员不少于6人，中级爆破工程技术人员不少于4人），爆破员不少于10人，安全员不少于2人，保管员不少于2人；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f）有钻孔机、空压机、测振仪、全站仪等爆破施工机械及检测、测量设备。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二级资质的营业性爆破作业单位应具备下列条件：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a）有或租用经安全评价合格的民用爆炸物品专用仓库；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b）</w:t>
            </w:r>
            <w:r>
              <w:rPr>
                <w:rFonts w:ascii="Times New Roman" w:hAnsi="Times New Roman" w:eastAsia="宋体" w:cs="Times New Roman"/>
                <w:b/>
              </w:rPr>
              <w:t>净资产不低于1000万元，其中爆破施工机械及检测、测量设备净值不少于500万元；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c）</w:t>
            </w:r>
            <w:r>
              <w:rPr>
                <w:rFonts w:ascii="Times New Roman" w:hAnsi="Times New Roman" w:eastAsia="宋体" w:cs="Times New Roman"/>
                <w:b/>
              </w:rPr>
              <w:t>近5年承担过的C级爆破作业项目的设计施工不少于20项，工程质量达到设计要求，未发生重大及以上爆破作业责任事故；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d）</w:t>
            </w:r>
            <w:r>
              <w:rPr>
                <w:rFonts w:ascii="Times New Roman" w:hAnsi="Times New Roman" w:eastAsia="宋体" w:cs="Times New Roman"/>
                <w:b/>
              </w:rPr>
              <w:t>技术负责人具备高级/B及以上爆破工程技术人员资格等级，</w:t>
            </w:r>
            <w:r>
              <w:rPr>
                <w:rFonts w:ascii="Times New Roman" w:hAnsi="Times New Roman" w:eastAsia="宋体" w:cs="Times New Roman"/>
              </w:rPr>
              <w:t>有7年及以上爆破作业项目技术管理工作的经历，且主持过的B级及以上爆破作业项目的设计施工不少于5项，或C级及以上爆破作业项目的设计施工不少于10项；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e</w:t>
            </w:r>
            <w:r>
              <w:rPr>
                <w:rFonts w:ascii="Times New Roman" w:hAnsi="Times New Roman" w:eastAsia="宋体" w:cs="Times New Roman"/>
                <w:b/>
              </w:rPr>
              <w:t>）爆破工程技术人员不少于20人，中级及以上爆破工程技术人员不少于10人（其中，高级爆破工程技术人员不少于6人），爆破员不少于20人，安全员不少于4人，保管员不少于4人；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f）有钻孔机、空压机、测振仪、测绘仪器等爆破施工机械及检测、测量设备。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6.2.2.3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三级资质的营业性爆破作业单位应具备下列条件：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a）有或租用经安全评价合格的民用爆炸物品专用仓库；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b）注册资金300万元以上，净资产不低于300万元，其中爆破施工机械及检测、测量设备净值不少于150万元；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c）近3年承担过的C级及以上爆破作业项目的设计施工不少于10项，或D级及以上爆破作业项目的设计施工不少于20项，工程质量达到设计要求，未发生重大及以上爆破作业责任事故；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）技术负责人具有理学、工学学科范围高级技术职称，有5年及以上爆破作业项目技术管理工作的经历，且主持过的C级及以上爆破作业项目的设计施工不少于5项，或D级及以上爆破作业项目的设计施工不少于10项；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三级资质的营业性爆破作业单位应具备下列条件：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a）有或租用经安全评价合格的民用爆炸物品专用仓库；</w:t>
            </w:r>
          </w:p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</w:rPr>
              <w:t>b）</w:t>
            </w:r>
            <w:r>
              <w:rPr>
                <w:rFonts w:hint="eastAsia" w:ascii="Times New Roman" w:hAnsi="Times New Roman" w:eastAsia="宋体" w:cs="Times New Roman"/>
                <w:b/>
              </w:rPr>
              <w:t>净资产不低于300万元，其中爆破施工机械及检测、测量设备净值不少于150万元；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</w:t>
            </w:r>
            <w:r>
              <w:rPr>
                <w:rFonts w:hint="eastAsia" w:ascii="Times New Roman" w:hAnsi="Times New Roman" w:eastAsia="宋体" w:cs="Times New Roman"/>
                <w:b/>
              </w:rPr>
              <w:t>）技术负责人具备高级/B及以上爆破工程技术人员资格等级</w:t>
            </w:r>
            <w:r>
              <w:rPr>
                <w:rFonts w:hint="eastAsia" w:ascii="Times New Roman" w:hAnsi="Times New Roman" w:eastAsia="宋体" w:cs="Times New Roman"/>
              </w:rPr>
              <w:t>，有5年及以上爆破作业项目技术管理工作的经历，且主持过的C级及以上爆破作业项目的设计施工不少于5项，或D级及以上爆破作业项目的设计施工不少于10项；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d）</w:t>
            </w:r>
            <w:r>
              <w:rPr>
                <w:rFonts w:hint="eastAsia" w:ascii="Times New Roman" w:hAnsi="Times New Roman" w:eastAsia="宋体" w:cs="Times New Roman"/>
                <w:b/>
              </w:rPr>
              <w:t>爆破工程技术人员不少于10人，中级及以上爆破工程技术人员不少于5人（其中，高级爆破工程技术人员不少于3人），爆破员不少于10人，安全员不少于2人，保管员不少于2人；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e）具有理学、工学学科范围技术职称的工程技术人员不少于10人（其中，高级爆破工程技术人员不少于3人，中级爆破工程技术人员不少于2人），爆破员不少于10人，安全员不少于2人，保管员不少于2人；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f）有钻孔机、空压机、测振仪、全站仪等爆破施工机械及检测、测量设备。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e）有钻孔机、空压机、测振仪、测绘仪器等爆破施工机械及检测、测量设备。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6.2.2.4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  <w:r>
              <w:rPr>
                <w:rFonts w:hint="eastAsia" w:ascii="Times New Roman" w:hAnsi="Times New Roman" w:eastAsia="宋体" w:cs="Times New Roman"/>
              </w:rPr>
              <w:t>四级资质的营业性爆破作业单位应具备下列条件：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a）有或租用经安全评价合格的民用爆炸物品专用仓库；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b）注册资金100万元以上，净资产不低于100万元，其中爆破施工机械及检测、测量设备净值不少于50万元；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c）技术负责人具有理学、工学学科范围中级及以上技术职称，有3年及以上爆破作业项目技术管理工作的经历；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d）具有理学、工学学科范围技术职称的工程技术人员不少于5人（其中，中级爆破工程技术人员不少于2人，初级爆破工程技术人员不少于1人），爆破员不少于10人，安全员不少于2人，保管员不少于2人；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e）有钻孔机、空压机、测振仪、全站仪等爆破施工机械及检测、测量设备。</w:t>
            </w:r>
          </w:p>
        </w:tc>
        <w:tc>
          <w:tcPr>
            <w:tcW w:w="59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删除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7.1.1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技术负责人的岗位职责包括：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a）组织领导爆破作业技术工作；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b）组织制定爆破作业安全管理制度和操作规程；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c）组织爆破作业人员安全教育、法制教育和岗位技术培训；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d）主持制定爆破作业设计施工方案、安全评估报告和安全监理报告。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技术负责人的岗位职责：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a）组织领导爆破作业技术工作；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b）组织制定爆破作业安全管理制度和操作规程；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c）组织爆破作业人员安全教育、法制教育和岗位技术培训；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d</w:t>
            </w:r>
            <w:r>
              <w:rPr>
                <w:rFonts w:hint="eastAsia" w:ascii="Times New Roman" w:hAnsi="Times New Roman" w:eastAsia="宋体" w:cs="Times New Roman"/>
              </w:rPr>
              <w:t>）</w:t>
            </w:r>
            <w:r>
              <w:rPr>
                <w:rFonts w:ascii="Times New Roman" w:hAnsi="Times New Roman" w:eastAsia="宋体" w:cs="Times New Roman"/>
              </w:rPr>
              <w:t>审定爆破作业设计施工方案、安全评估报告和安全监理报告。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7.1.2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项目技术负责人的岗位职责包括：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a）监督爆破作业人员按照爆破作业设计施工方案作业；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b）组织处理盲炮或其他安全隐患；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c）全面负责爆破作业项目的安全管理工作；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d）负责爆破作业项目的总结工作。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项目技术负责人的岗位职责：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</w:rPr>
              <w:t>a） 组织编制爆破作业设计施工方案、安全评估报告和安全监理报告；</w:t>
            </w:r>
            <w:r>
              <w:rPr>
                <w:rFonts w:ascii="Times New Roman" w:hAnsi="Times New Roman" w:eastAsia="宋体" w:cs="Times New Roman"/>
                <w:b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</w:rPr>
              <w:t>b）指导爆破作业人员按照爆破作业设计施工方案作业；</w:t>
            </w:r>
            <w:r>
              <w:rPr>
                <w:rFonts w:ascii="Times New Roman" w:hAnsi="Times New Roman" w:eastAsia="宋体" w:cs="Times New Roman"/>
                <w:b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c）组织处理盲炮或其他安全隐患；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d）全面负责爆破作业项目的安全管理工作；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e）负责爆破作业项目的总结工作。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7.2.2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爆破员、安全员、保管员不得兼任。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爆破员、安全员、保管员岗位不得兼任。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8.1.1.1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申请非营业性爆破作业单位许可证的单位，应向所在地设区的市级公安机关提出申请，并提交《爆破作业单位许可证》（非营业性）申请表（见附录A）及下列材料：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a）民用爆炸物品专用仓库安全评价报告；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b）爆破作业区域证明；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c）涉爆从业人员从业资格证明；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d）爆破作业专用设备清单。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申请非营业性爆破作业单位许可证的单位，应向所在地设区的市级公安机关提出申请，并提交《爆破作业单位许可证》（非营业性）申请表（见附录A）及下列材料：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a）民用爆炸物品专用仓库安全评价报告；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b）爆破作业区域证明；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c）爆破作业专用设备清单。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8.1.1.2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申请营业性爆破作业单位许可证的单位，应向所在地省级公安机关提出申请，并提交《爆破作业单位许可证》（营业性）申请表（见附录B）及下列材料：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a）自有或租用民用爆炸物品专用仓库安全评价报告；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b）注册资金、净资产、专用设备净值的有效证明；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c）近3年单位承接的爆破作业项目设计施工方案；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d）技术负责人主持的爆破作业项目设计施工方案；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e）涉爆从业人员从业资格证明；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f）爆破施工机械及检测、测量设备清单。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申请营业性爆破作业单位许可证的单位，应向所在地省级公安机关提出申请，并提交《爆破作业单位许可证》（营业性）申请表（见附录B）及下列材料：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a）自有或租用民用爆炸物品专用仓库安全评价报告；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b）净资产、专用设备净值的有效证明；</w:t>
            </w:r>
            <w:r>
              <w:rPr>
                <w:rFonts w:ascii="Times New Roman" w:hAnsi="Times New Roman" w:eastAsia="宋体" w:cs="Times New Roman"/>
              </w:rPr>
              <w:br w:type="textWrapping"/>
            </w:r>
            <w:r>
              <w:rPr>
                <w:rFonts w:ascii="Times New Roman" w:hAnsi="Times New Roman" w:eastAsia="宋体" w:cs="Times New Roman"/>
              </w:rPr>
              <w:t>c）爆破施工机械及检测、测量设备清单。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15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8.1.3.1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《爆破作业单位许可证》的有效期为3年。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《爆破作业单位许可证》的有效期为</w:t>
            </w:r>
            <w:r>
              <w:rPr>
                <w:rFonts w:ascii="Times New Roman" w:hAnsi="Times New Roman" w:eastAsia="宋体" w:cs="Times New Roman"/>
                <w:b/>
              </w:rPr>
              <w:t>5年</w:t>
            </w:r>
            <w:r>
              <w:rPr>
                <w:rFonts w:ascii="Times New Roman" w:hAnsi="Times New Roman" w:eastAsia="宋体" w:cs="Times New Roman"/>
              </w:rPr>
              <w:t>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16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8.1.3.4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受理申请的公安机关应按照6.1、6.2和8.1的相关规定进行审查。对符合条件的，换发《爆破作业单位许可证》；对不符合条件的，书面向申请人说明理由。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受理申请的公安机关应按照本标准的规定（</w:t>
            </w:r>
            <w:r>
              <w:rPr>
                <w:rFonts w:ascii="Times New Roman" w:hAnsi="Times New Roman" w:eastAsia="宋体" w:cs="Times New Roman"/>
                <w:b/>
              </w:rPr>
              <w:t>除单位业绩外</w:t>
            </w:r>
            <w:r>
              <w:rPr>
                <w:rFonts w:ascii="Times New Roman" w:hAnsi="Times New Roman" w:eastAsia="宋体" w:cs="Times New Roman"/>
              </w:rPr>
              <w:t>）进行审查。对符合条件的，换发《爆破作业单位许可证》；对不符合条件的，书面向申请人说明理由。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17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8.1.5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撤销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撤销和注销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18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8.1.5.3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eastAsia="宋体" w:cs="Times New Roman"/>
                <w:b/>
              </w:rPr>
              <w:t>爆破作业单位在有效期届满3个月内未提出换发《</w:t>
            </w:r>
            <w:bookmarkStart w:id="2" w:name="_GoBack"/>
            <w:bookmarkEnd w:id="2"/>
            <w:r>
              <w:rPr>
                <w:rFonts w:ascii="Times New Roman" w:hAnsi="Times New Roman" w:eastAsia="宋体" w:cs="Times New Roman"/>
                <w:b/>
              </w:rPr>
              <w:t>爆破作业单位许可证》申请的，由签发公安机关注销其《爆破作业单位许可证》。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新增加一条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19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8.2.6</w:t>
            </w:r>
          </w:p>
        </w:tc>
        <w:tc>
          <w:tcPr>
            <w:tcW w:w="5871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  <w:r>
              <w:rPr>
                <w:rFonts w:hint="eastAsia" w:ascii="Times New Roman" w:hAnsi="Times New Roman" w:eastAsia="宋体" w:cs="Times New Roman"/>
              </w:rPr>
              <w:t>省级公安机关应在核发《爆破作业单位许可证》15日内，将依法取得一级、二级、三级资质的营业性爆破作业单位的基本情况向公安部备案（见附录C）。</w:t>
            </w:r>
          </w:p>
        </w:tc>
        <w:tc>
          <w:tcPr>
            <w:tcW w:w="595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删除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附录A</w:t>
            </w:r>
          </w:p>
        </w:tc>
        <w:tc>
          <w:tcPr>
            <w:tcW w:w="587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  <w:r>
              <w:rPr>
                <w:rFonts w:hint="eastAsia" w:ascii="Times New Roman" w:hAnsi="Times New Roman" w:eastAsia="宋体" w:cs="Times New Roman"/>
              </w:rPr>
              <w:t>《爆破作业单位许可证》（非营业性）申请表（表略）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删除表中：</w:t>
            </w:r>
            <w:r>
              <w:rPr>
                <w:rFonts w:ascii="Times New Roman" w:hAnsi="Times New Roman" w:eastAsia="宋体" w:cs="Times New Roman"/>
              </w:rPr>
              <w:t>注册资金、万元、银行账户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21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附录B</w:t>
            </w:r>
          </w:p>
        </w:tc>
        <w:tc>
          <w:tcPr>
            <w:tcW w:w="587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　</w:t>
            </w:r>
            <w:r>
              <w:rPr>
                <w:rFonts w:hint="eastAsia" w:ascii="Times New Roman" w:hAnsi="Times New Roman" w:eastAsia="宋体" w:cs="Times New Roman"/>
              </w:rPr>
              <w:t>《爆破作业单位许可证》（营业性）申请表（表略）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删除表中：</w:t>
            </w:r>
            <w:r>
              <w:rPr>
                <w:rFonts w:ascii="Times New Roman" w:hAnsi="Times New Roman" w:eastAsia="宋体" w:cs="Times New Roman"/>
              </w:rPr>
              <w:t>注册资金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22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附录B</w:t>
            </w:r>
          </w:p>
        </w:tc>
        <w:tc>
          <w:tcPr>
            <w:tcW w:w="587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近3年单位爆破作业项目施工业绩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/>
              </w:rPr>
              <w:t>近5年</w:t>
            </w:r>
            <w:r>
              <w:rPr>
                <w:rFonts w:ascii="Times New Roman" w:hAnsi="Times New Roman" w:eastAsia="宋体" w:cs="Times New Roman"/>
              </w:rPr>
              <w:t>单位爆破作业项目施工业绩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23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附录B</w:t>
            </w:r>
          </w:p>
        </w:tc>
        <w:tc>
          <w:tcPr>
            <w:tcW w:w="587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第一设计人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设计人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24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附录C</w:t>
            </w:r>
          </w:p>
        </w:tc>
        <w:tc>
          <w:tcPr>
            <w:tcW w:w="587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《营业性爆破作业单位基本情况备案表》（表略）</w:t>
            </w:r>
          </w:p>
        </w:tc>
        <w:tc>
          <w:tcPr>
            <w:tcW w:w="5952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Cs/>
              </w:rPr>
              <w:t>删除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Times New Roman" w:hAnsi="宋体" w:eastAsia="宋体" w:cs="Times New Roman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326"/>
    <w:rsid w:val="00002466"/>
    <w:rsid w:val="00014B31"/>
    <w:rsid w:val="00043D07"/>
    <w:rsid w:val="00047098"/>
    <w:rsid w:val="000528CD"/>
    <w:rsid w:val="000C08FA"/>
    <w:rsid w:val="000C0A70"/>
    <w:rsid w:val="000D59F3"/>
    <w:rsid w:val="001279B5"/>
    <w:rsid w:val="00141D60"/>
    <w:rsid w:val="00165045"/>
    <w:rsid w:val="00167A59"/>
    <w:rsid w:val="00195175"/>
    <w:rsid w:val="001B586C"/>
    <w:rsid w:val="002130B4"/>
    <w:rsid w:val="002270AF"/>
    <w:rsid w:val="00233C55"/>
    <w:rsid w:val="00244C78"/>
    <w:rsid w:val="002664FE"/>
    <w:rsid w:val="00287126"/>
    <w:rsid w:val="002D6AE3"/>
    <w:rsid w:val="00301EAF"/>
    <w:rsid w:val="003344F1"/>
    <w:rsid w:val="0033614C"/>
    <w:rsid w:val="00365019"/>
    <w:rsid w:val="00371944"/>
    <w:rsid w:val="00386D27"/>
    <w:rsid w:val="003A6138"/>
    <w:rsid w:val="003E13FE"/>
    <w:rsid w:val="003E1875"/>
    <w:rsid w:val="003F6951"/>
    <w:rsid w:val="00420029"/>
    <w:rsid w:val="00420A2F"/>
    <w:rsid w:val="004450E9"/>
    <w:rsid w:val="00476A45"/>
    <w:rsid w:val="00491AB2"/>
    <w:rsid w:val="004A57F4"/>
    <w:rsid w:val="00513E91"/>
    <w:rsid w:val="00520372"/>
    <w:rsid w:val="00564384"/>
    <w:rsid w:val="0057360D"/>
    <w:rsid w:val="00581906"/>
    <w:rsid w:val="005857D4"/>
    <w:rsid w:val="005F6585"/>
    <w:rsid w:val="00602F77"/>
    <w:rsid w:val="00686326"/>
    <w:rsid w:val="006B5BBC"/>
    <w:rsid w:val="00722F2B"/>
    <w:rsid w:val="0075014D"/>
    <w:rsid w:val="00781F8C"/>
    <w:rsid w:val="007B3108"/>
    <w:rsid w:val="007E4C38"/>
    <w:rsid w:val="008445C5"/>
    <w:rsid w:val="00855D23"/>
    <w:rsid w:val="008624ED"/>
    <w:rsid w:val="00881369"/>
    <w:rsid w:val="00892826"/>
    <w:rsid w:val="008A10A6"/>
    <w:rsid w:val="008C50C8"/>
    <w:rsid w:val="008C5ECE"/>
    <w:rsid w:val="008D18F1"/>
    <w:rsid w:val="009043A1"/>
    <w:rsid w:val="009050ED"/>
    <w:rsid w:val="0091700F"/>
    <w:rsid w:val="00923A9B"/>
    <w:rsid w:val="00934590"/>
    <w:rsid w:val="009522C1"/>
    <w:rsid w:val="009562B3"/>
    <w:rsid w:val="00995136"/>
    <w:rsid w:val="009C1F77"/>
    <w:rsid w:val="009E5F57"/>
    <w:rsid w:val="009F7702"/>
    <w:rsid w:val="00A15C94"/>
    <w:rsid w:val="00A96EC8"/>
    <w:rsid w:val="00AA37F7"/>
    <w:rsid w:val="00AA6032"/>
    <w:rsid w:val="00AC3741"/>
    <w:rsid w:val="00B7481B"/>
    <w:rsid w:val="00BF1DC4"/>
    <w:rsid w:val="00C04688"/>
    <w:rsid w:val="00C07D6F"/>
    <w:rsid w:val="00C233A4"/>
    <w:rsid w:val="00C41478"/>
    <w:rsid w:val="00C47791"/>
    <w:rsid w:val="00C5522D"/>
    <w:rsid w:val="00C55397"/>
    <w:rsid w:val="00C61BF7"/>
    <w:rsid w:val="00C76BF5"/>
    <w:rsid w:val="00C8376E"/>
    <w:rsid w:val="00C85A9B"/>
    <w:rsid w:val="00CA2D3D"/>
    <w:rsid w:val="00CB73B5"/>
    <w:rsid w:val="00CD296E"/>
    <w:rsid w:val="00CD6D6A"/>
    <w:rsid w:val="00CE76F8"/>
    <w:rsid w:val="00D05AB1"/>
    <w:rsid w:val="00D14652"/>
    <w:rsid w:val="00D23857"/>
    <w:rsid w:val="00D27BCB"/>
    <w:rsid w:val="00D41BF6"/>
    <w:rsid w:val="00D46BD5"/>
    <w:rsid w:val="00D53EAE"/>
    <w:rsid w:val="00D75FAE"/>
    <w:rsid w:val="00DA0D1F"/>
    <w:rsid w:val="00DD6D25"/>
    <w:rsid w:val="00E028C2"/>
    <w:rsid w:val="00E15E18"/>
    <w:rsid w:val="00E410B8"/>
    <w:rsid w:val="00E458A8"/>
    <w:rsid w:val="00ED1A79"/>
    <w:rsid w:val="00ED561F"/>
    <w:rsid w:val="00EE1422"/>
    <w:rsid w:val="00EE1FAC"/>
    <w:rsid w:val="00F47749"/>
    <w:rsid w:val="00F66B74"/>
    <w:rsid w:val="00F701DE"/>
    <w:rsid w:val="00F81708"/>
    <w:rsid w:val="00FA421F"/>
    <w:rsid w:val="00FF2052"/>
    <w:rsid w:val="00FF2DF7"/>
    <w:rsid w:val="1D6B546B"/>
    <w:rsid w:val="2F5F4EC6"/>
    <w:rsid w:val="573D7847"/>
    <w:rsid w:val="66640F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table" w:customStyle="1" w:styleId="10">
    <w:name w:val="网格型1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B12BA8-E3F0-49F9-A965-AAFDF87FB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1128</Words>
  <Characters>6431</Characters>
  <Lines>53</Lines>
  <Paragraphs>15</Paragraphs>
  <ScaleCrop>false</ScaleCrop>
  <LinksUpToDate>false</LinksUpToDate>
  <CharactersWithSpaces>7544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2018-12-10T01:28:00Z</dcterms:created>
  <dc:creator>lenovo</dc:creator>
  <cp:lastModifiedBy>zgl</cp:lastModifiedBy>
  <dcterms:modified xsi:type="dcterms:W3CDTF">2019-11-05T09:10:22Z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